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67E9C" w14:textId="77777777" w:rsidR="00E95B3E" w:rsidRPr="00E95B3E" w:rsidRDefault="00E95B3E" w:rsidP="00E95B3E">
      <w:pPr>
        <w:shd w:val="clear" w:color="auto" w:fill="FFFFFF"/>
        <w:spacing w:after="0" w:line="240" w:lineRule="auto"/>
        <w:outlineLvl w:val="0"/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BE"/>
          <w14:ligatures w14:val="none"/>
        </w:rPr>
      </w:pPr>
      <w:r w:rsidRPr="00E95B3E"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BE"/>
          <w14:ligatures w14:val="none"/>
        </w:rPr>
        <w:t>Essoufflement de la croissance économique</w:t>
      </w:r>
    </w:p>
    <w:p w14:paraId="3816DB72" w14:textId="77777777" w:rsidR="00E95B3E" w:rsidRDefault="00E95B3E" w:rsidP="00E95B3E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3E001F"/>
          <w:kern w:val="0"/>
          <w:sz w:val="30"/>
          <w:szCs w:val="30"/>
          <w:lang w:eastAsia="fr-BE"/>
          <w14:ligatures w14:val="none"/>
        </w:rPr>
      </w:pPr>
    </w:p>
    <w:p w14:paraId="3041CA41" w14:textId="16A7A2A2" w:rsidR="00E95B3E" w:rsidRPr="00E95B3E" w:rsidRDefault="00E95B3E" w:rsidP="00E95B3E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</w:pPr>
      <w:r w:rsidRPr="00E95B3E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Légère baisse pour les cours du </w:t>
      </w:r>
      <w:r w:rsidRPr="00E95B3E">
        <w:rPr>
          <w:rFonts w:ascii="Lato" w:eastAsia="Times New Roman" w:hAnsi="Lato" w:cs="Times New Roman"/>
          <w:color w:val="000000"/>
          <w:kern w:val="0"/>
          <w:sz w:val="23"/>
          <w:szCs w:val="23"/>
          <w:u w:val="single"/>
          <w:lang w:eastAsia="fr-BE"/>
          <w14:ligatures w14:val="none"/>
        </w:rPr>
        <w:t>cuivre </w:t>
      </w:r>
      <w:r w:rsidRPr="00E95B3E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: le yuan, devise du premier consommateur mondial de métaux, s’est affaibli. Symptôme d’un essoufflement de l’économie mondiale, le nombre de commandes passées par l’Allemagne est en recul.</w:t>
      </w:r>
    </w:p>
    <w:p w14:paraId="66F8ED29" w14:textId="77777777" w:rsidR="00E95B3E" w:rsidRPr="00E95B3E" w:rsidRDefault="00E95B3E" w:rsidP="00E95B3E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</w:pPr>
      <w:r w:rsidRPr="00E95B3E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Sur le LME, le </w:t>
      </w:r>
      <w:r w:rsidRPr="00E95B3E">
        <w:rPr>
          <w:rFonts w:ascii="Lato" w:eastAsia="Times New Roman" w:hAnsi="Lato" w:cs="Times New Roman"/>
          <w:color w:val="000000"/>
          <w:kern w:val="0"/>
          <w:sz w:val="23"/>
          <w:szCs w:val="23"/>
          <w:u w:val="single"/>
          <w:lang w:eastAsia="fr-BE"/>
          <w14:ligatures w14:val="none"/>
        </w:rPr>
        <w:t>cuivre</w:t>
      </w:r>
      <w:r w:rsidRPr="00E95B3E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 pour livraison à trois mois recule de 0,6 % à 8.438 $/t, après avoir gagné 0,4 % hier. Le </w:t>
      </w:r>
      <w:r w:rsidRPr="00E95B3E">
        <w:rPr>
          <w:rFonts w:ascii="Lato" w:eastAsia="Times New Roman" w:hAnsi="Lato" w:cs="Times New Roman"/>
          <w:color w:val="000000"/>
          <w:kern w:val="0"/>
          <w:sz w:val="23"/>
          <w:szCs w:val="23"/>
          <w:u w:val="single"/>
          <w:lang w:eastAsia="fr-BE"/>
          <w14:ligatures w14:val="none"/>
        </w:rPr>
        <w:t>cuivre</w:t>
      </w:r>
      <w:r w:rsidRPr="00E95B3E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 du LME s’est refait une santé après avoir touché un plus bas à 8.120 $/t mi-août. Si les mesures de relance tant espérées ont bien été annoncées par la Chine, elles sont insuffisantes aux yeux des investisseurs. La saison d’automne apporte traditionnellement un regain de demande de </w:t>
      </w:r>
      <w:r w:rsidRPr="00E95B3E">
        <w:rPr>
          <w:rFonts w:ascii="Lato" w:eastAsia="Times New Roman" w:hAnsi="Lato" w:cs="Times New Roman"/>
          <w:color w:val="000000"/>
          <w:kern w:val="0"/>
          <w:sz w:val="23"/>
          <w:szCs w:val="23"/>
          <w:u w:val="single"/>
          <w:lang w:eastAsia="fr-BE"/>
          <w14:ligatures w14:val="none"/>
        </w:rPr>
        <w:t>cuivre</w:t>
      </w:r>
      <w:r w:rsidRPr="00E95B3E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 en Chine. « </w:t>
      </w:r>
      <w:r w:rsidRPr="00E95B3E">
        <w:rPr>
          <w:rFonts w:ascii="Lato" w:eastAsia="Times New Roman" w:hAnsi="Lato" w:cs="Times New Roman"/>
          <w:i/>
          <w:iCs/>
          <w:color w:val="000000"/>
          <w:kern w:val="0"/>
          <w:sz w:val="23"/>
          <w:szCs w:val="23"/>
          <w:lang w:eastAsia="fr-BE"/>
          <w14:ligatures w14:val="none"/>
        </w:rPr>
        <w:t>Pour le moment, son niveau est inférieur à celui de l’année dernière </w:t>
      </w:r>
      <w:r w:rsidRPr="00E95B3E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», commente une source.</w:t>
      </w:r>
    </w:p>
    <w:p w14:paraId="76AF3E05" w14:textId="77777777" w:rsidR="00E95B3E" w:rsidRPr="00E95B3E" w:rsidRDefault="00E95B3E" w:rsidP="00E95B3E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</w:pPr>
      <w:r w:rsidRPr="00E95B3E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Le yuan a chuté à un creux de 10 mois face à un dollar vigoureux. La deuxième économie mondiale souffre de résultats économiques décevants. En août, le secteur des services a progressé à son rythme le plus lent en 8 mois. « </w:t>
      </w:r>
      <w:r w:rsidRPr="00E95B3E">
        <w:rPr>
          <w:rFonts w:ascii="Lato" w:eastAsia="Times New Roman" w:hAnsi="Lato" w:cs="Times New Roman"/>
          <w:i/>
          <w:iCs/>
          <w:color w:val="000000"/>
          <w:kern w:val="0"/>
          <w:sz w:val="23"/>
          <w:szCs w:val="23"/>
          <w:lang w:eastAsia="fr-BE"/>
          <w14:ligatures w14:val="none"/>
        </w:rPr>
        <w:t>Il y a eu une tentative de raviver le yuan dans la nuit</w:t>
      </w:r>
      <w:r w:rsidRPr="00E95B3E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 xml:space="preserve">, commente </w:t>
      </w:r>
      <w:proofErr w:type="spellStart"/>
      <w:r w:rsidRPr="00E95B3E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Ole</w:t>
      </w:r>
      <w:proofErr w:type="spellEnd"/>
      <w:r w:rsidRPr="00E95B3E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 xml:space="preserve"> Hansen, stratège pour Saxo Bank. </w:t>
      </w:r>
      <w:r w:rsidRPr="00E95B3E">
        <w:rPr>
          <w:rFonts w:ascii="Lato" w:eastAsia="Times New Roman" w:hAnsi="Lato" w:cs="Times New Roman"/>
          <w:i/>
          <w:iCs/>
          <w:color w:val="000000"/>
          <w:kern w:val="0"/>
          <w:sz w:val="23"/>
          <w:szCs w:val="23"/>
          <w:lang w:eastAsia="fr-BE"/>
          <w14:ligatures w14:val="none"/>
        </w:rPr>
        <w:t>Il est plus fortement lié au cuivre que ne l’est le dollar. De plus, le nombre de commandes allemandes est désolant ; tout à fait représentatif de l’état actuel du marché </w:t>
      </w:r>
      <w:r w:rsidRPr="00E95B3E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». En effet, les commandes industrielles allemandes ont chuté de 11,7 % en juillet, soit largement plus que les 4 % anticipés par les analystes.</w:t>
      </w:r>
    </w:p>
    <w:p w14:paraId="3BEB36E2" w14:textId="77777777" w:rsidR="00E95B3E" w:rsidRPr="00E95B3E" w:rsidRDefault="00E95B3E" w:rsidP="00E95B3E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</w:pPr>
      <w:r w:rsidRPr="00E95B3E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Face à la vigueur du dollar, </w:t>
      </w:r>
      <w:r w:rsidRPr="00E95B3E">
        <w:rPr>
          <w:rFonts w:ascii="Lato" w:eastAsia="Times New Roman" w:hAnsi="Lato" w:cs="Times New Roman"/>
          <w:color w:val="000000"/>
          <w:kern w:val="0"/>
          <w:sz w:val="23"/>
          <w:szCs w:val="23"/>
          <w:u w:val="single"/>
          <w:lang w:eastAsia="fr-BE"/>
          <w14:ligatures w14:val="none"/>
        </w:rPr>
        <w:t>l’or</w:t>
      </w:r>
      <w:r w:rsidRPr="00E95B3E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 est stable, à un creux d’une semaine.      </w:t>
      </w:r>
    </w:p>
    <w:p w14:paraId="5827E032" w14:textId="77777777" w:rsidR="00287462" w:rsidRDefault="00287462"/>
    <w:sectPr w:rsidR="00287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B3E"/>
    <w:rsid w:val="00287462"/>
    <w:rsid w:val="00E9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57F39"/>
  <w15:chartTrackingRefBased/>
  <w15:docId w15:val="{EBB275FC-A822-4975-9F3A-82715F9D7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0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1276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Klinck</dc:creator>
  <cp:keywords/>
  <dc:description/>
  <cp:lastModifiedBy>Sebastien Klinck</cp:lastModifiedBy>
  <cp:revision>1</cp:revision>
  <dcterms:created xsi:type="dcterms:W3CDTF">2023-09-07T12:39:00Z</dcterms:created>
  <dcterms:modified xsi:type="dcterms:W3CDTF">2023-09-07T12:39:00Z</dcterms:modified>
</cp:coreProperties>
</file>